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CC">
    <v:background id="_x0000_s1025" o:bwmode="white" fillcolor="#ffc">
      <v:fill r:id="rId2" o:title="Parchment" type="tile"/>
    </v:background>
  </w:background>
  <w:body>
    <w:p w14:paraId="006C1CD2" w14:textId="77777777" w:rsidR="007E1370" w:rsidRPr="00732BEC" w:rsidRDefault="007E1370" w:rsidP="007E1370">
      <w:pPr>
        <w:jc w:val="center"/>
        <w:rPr>
          <w:rFonts w:ascii="Gill Sans Nova Cond XBd" w:hAnsi="Gill Sans Nova Cond XBd"/>
          <w:color w:val="663300"/>
          <w:sz w:val="40"/>
        </w:rPr>
      </w:pPr>
      <w:r w:rsidRPr="00732BEC">
        <w:rPr>
          <w:rFonts w:ascii="Gill Sans Nova Cond XBd" w:hAnsi="Gill Sans Nova Cond XBd"/>
          <w:color w:val="663300"/>
          <w:sz w:val="40"/>
        </w:rPr>
        <w:t>Congestion Control Schemes</w:t>
      </w:r>
    </w:p>
    <w:p w14:paraId="4E9A5A50" w14:textId="4CC165AF" w:rsidR="007E1370" w:rsidRPr="007E1370" w:rsidRDefault="007E1370" w:rsidP="007E1370">
      <w:pPr>
        <w:rPr>
          <w:rFonts w:ascii="Georgia" w:hAnsi="Georgia"/>
          <w:sz w:val="28"/>
        </w:rPr>
      </w:pPr>
      <w:r w:rsidRPr="007E1370">
        <w:rPr>
          <w:rFonts w:ascii="Georgia" w:hAnsi="Georgia"/>
          <w:sz w:val="28"/>
        </w:rPr>
        <w:t>[</w:t>
      </w:r>
      <w:hyperlink r:id="rId5" w:history="1">
        <w:r w:rsidRPr="00842499">
          <w:rPr>
            <w:rStyle w:val="Hyperlink"/>
            <w:rFonts w:ascii="Georgia" w:hAnsi="Georgia"/>
            <w:color w:val="806000" w:themeColor="accent4" w:themeShade="80"/>
            <w:sz w:val="28"/>
          </w:rPr>
          <w:t>1</w:t>
        </w:r>
      </w:hyperlink>
      <w:r w:rsidRPr="007E1370">
        <w:rPr>
          <w:rFonts w:ascii="Georgia" w:hAnsi="Georgia"/>
          <w:sz w:val="28"/>
        </w:rPr>
        <w:t>] V. Jacobson. Congestion avoidance and control. In ACM SIGCOMM Computer Communication Review, volume 18, 314</w:t>
      </w:r>
      <w:r w:rsidR="006561C6">
        <w:rPr>
          <w:rFonts w:ascii="Georgia" w:hAnsi="Georgia"/>
          <w:sz w:val="28"/>
        </w:rPr>
        <w:t>-</w:t>
      </w:r>
      <w:r w:rsidRPr="007E1370">
        <w:rPr>
          <w:rFonts w:ascii="Georgia" w:hAnsi="Georgia"/>
          <w:sz w:val="28"/>
        </w:rPr>
        <w:t>329. ACM, 1988.</w:t>
      </w:r>
    </w:p>
    <w:p w14:paraId="1287877B" w14:textId="77777777" w:rsidR="007E1370" w:rsidRPr="007E1370" w:rsidRDefault="007E1370" w:rsidP="007E1370">
      <w:pPr>
        <w:rPr>
          <w:rFonts w:ascii="Georgia" w:hAnsi="Georgia"/>
          <w:sz w:val="28"/>
        </w:rPr>
      </w:pPr>
      <w:r w:rsidRPr="007E1370">
        <w:rPr>
          <w:rFonts w:ascii="Georgia" w:hAnsi="Georgia"/>
          <w:sz w:val="28"/>
        </w:rPr>
        <w:t>[</w:t>
      </w:r>
      <w:hyperlink r:id="rId6" w:history="1">
        <w:r w:rsidRPr="00842499">
          <w:rPr>
            <w:rStyle w:val="Hyperlink"/>
            <w:rFonts w:ascii="Georgia" w:hAnsi="Georgia"/>
            <w:color w:val="806000" w:themeColor="accent4" w:themeShade="80"/>
            <w:sz w:val="28"/>
          </w:rPr>
          <w:t>2</w:t>
        </w:r>
      </w:hyperlink>
      <w:r w:rsidRPr="007E1370">
        <w:rPr>
          <w:rFonts w:ascii="Georgia" w:hAnsi="Georgia"/>
          <w:sz w:val="28"/>
        </w:rPr>
        <w:t>] S.P. Morgan and S. Keshav, Packet-Pair Rate Control - Buffer Requirements and Overload Performance, Technical Memorandum, AT&amp;T Bell Laboratories, October 1994.</w:t>
      </w:r>
    </w:p>
    <w:p w14:paraId="74654582" w14:textId="77777777" w:rsidR="007E1370" w:rsidRPr="007E1370" w:rsidRDefault="007E1370" w:rsidP="007E1370">
      <w:pPr>
        <w:rPr>
          <w:rFonts w:ascii="Georgia" w:hAnsi="Georgia"/>
          <w:sz w:val="28"/>
        </w:rPr>
      </w:pPr>
      <w:r w:rsidRPr="007E1370">
        <w:rPr>
          <w:rFonts w:ascii="Georgia" w:hAnsi="Georgia"/>
          <w:sz w:val="28"/>
        </w:rPr>
        <w:t>[</w:t>
      </w:r>
      <w:hyperlink r:id="rId7" w:history="1">
        <w:r w:rsidRPr="00842499">
          <w:rPr>
            <w:rStyle w:val="Hyperlink"/>
            <w:rFonts w:ascii="Georgia" w:hAnsi="Georgia"/>
            <w:color w:val="806000" w:themeColor="accent4" w:themeShade="80"/>
            <w:sz w:val="28"/>
          </w:rPr>
          <w:t>3</w:t>
        </w:r>
      </w:hyperlink>
      <w:r w:rsidRPr="007E1370">
        <w:rPr>
          <w:rFonts w:ascii="Georgia" w:hAnsi="Georgia"/>
          <w:sz w:val="28"/>
        </w:rPr>
        <w:t xml:space="preserve">] P.P. Mishra, and H. </w:t>
      </w:r>
      <w:proofErr w:type="spellStart"/>
      <w:r w:rsidRPr="007E1370">
        <w:rPr>
          <w:rFonts w:ascii="Georgia" w:hAnsi="Georgia"/>
          <w:sz w:val="28"/>
        </w:rPr>
        <w:t>Kanakia</w:t>
      </w:r>
      <w:proofErr w:type="spellEnd"/>
      <w:r w:rsidRPr="007E1370">
        <w:rPr>
          <w:rFonts w:ascii="Georgia" w:hAnsi="Georgia"/>
          <w:sz w:val="28"/>
        </w:rPr>
        <w:t>. Hop by Hop Rate-based Congestion Control, SIGCOMM '92 Conference proceedings on Communications architectures &amp; protocols, pp 112-123.</w:t>
      </w:r>
    </w:p>
    <w:p w14:paraId="6C288588" w14:textId="77777777" w:rsidR="007E1370" w:rsidRDefault="007E1370" w:rsidP="007E1370"/>
    <w:p w14:paraId="6997B59A" w14:textId="77777777" w:rsidR="00AF7F42" w:rsidRDefault="00AF7F42">
      <w:bookmarkStart w:id="0" w:name="_GoBack"/>
      <w:bookmarkEnd w:id="0"/>
    </w:p>
    <w:sectPr w:rsidR="00AF7F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Nova Cond XBd">
    <w:altName w:val="Gill Sans Nova Cond XBd"/>
    <w:charset w:val="00"/>
    <w:family w:val="swiss"/>
    <w:pitch w:val="variable"/>
    <w:sig w:usb0="80000287" w:usb1="00000002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370"/>
    <w:rsid w:val="006561C6"/>
    <w:rsid w:val="00732BEC"/>
    <w:rsid w:val="007E1370"/>
    <w:rsid w:val="00842499"/>
    <w:rsid w:val="008B19B0"/>
    <w:rsid w:val="00AF7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3460DB"/>
  <w15:chartTrackingRefBased/>
  <w15:docId w15:val="{0268D937-ACE6-45AC-AE41-DD05EE1C7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E1370"/>
    <w:rPr>
      <w:color w:val="0000FF"/>
      <w:u w:val="single"/>
    </w:rPr>
  </w:style>
  <w:style w:type="character" w:customStyle="1" w:styleId="spelle">
    <w:name w:val="spelle"/>
    <w:basedOn w:val="DefaultParagraphFont"/>
    <w:rsid w:val="007E1370"/>
  </w:style>
  <w:style w:type="character" w:customStyle="1" w:styleId="grame">
    <w:name w:val="grame"/>
    <w:basedOn w:val="DefaultParagraphFont"/>
    <w:rsid w:val="007E1370"/>
  </w:style>
  <w:style w:type="character" w:styleId="UnresolvedMention">
    <w:name w:val="Unresolved Mention"/>
    <w:basedOn w:val="DefaultParagraphFont"/>
    <w:uiPriority w:val="99"/>
    <w:semiHidden/>
    <w:unhideWhenUsed/>
    <w:rsid w:val="007E13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817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s.pitt.edu/~znati/Courses/WANs/Dir-Rel/RdngMtrl/M-K-Scheme.pdf" TargetMode="External"/><Relationship Id="rId2" Type="http://schemas.openxmlformats.org/officeDocument/2006/relationships/image" Target="media/image1.jpeg"/><Relationship Id="rId1" Type="http://schemas.openxmlformats.org/officeDocument/2006/relationships/styles" Target="styles.xml"/><Relationship Id="rId6" Type="http://schemas.openxmlformats.org/officeDocument/2006/relationships/hyperlink" Target="http://www.cs.pitt.edu/~znati/Courses/WANs/Dir-Rel/RdngMtrl/pp_overload.pdf" TargetMode="External"/><Relationship Id="rId5" Type="http://schemas.openxmlformats.org/officeDocument/2006/relationships/hyperlink" Target="http://www.cs.pitt.edu/~znati/Courses/WANs/Dir-Rel/RdngMtrl/jacobson88congestion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Znati, Taieb</dc:creator>
  <cp:keywords/>
  <dc:description/>
  <cp:lastModifiedBy>Znati, Taieb</cp:lastModifiedBy>
  <cp:revision>5</cp:revision>
  <dcterms:created xsi:type="dcterms:W3CDTF">2019-02-12T02:34:00Z</dcterms:created>
  <dcterms:modified xsi:type="dcterms:W3CDTF">2019-04-04T20:58:00Z</dcterms:modified>
</cp:coreProperties>
</file>